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13" w:rsidRPr="00D97613" w:rsidRDefault="00D97613" w:rsidP="00D97613">
      <w:pPr>
        <w:widowControl/>
        <w:shd w:val="clear" w:color="auto" w:fill="FFFFFF"/>
        <w:spacing w:line="450" w:lineRule="atLeast"/>
        <w:jc w:val="center"/>
        <w:rPr>
          <w:rFonts w:ascii="Calibri" w:eastAsia="宋体" w:hAnsi="Calibri" w:cs="宋体"/>
          <w:b/>
          <w:bCs/>
          <w:kern w:val="0"/>
          <w:sz w:val="27"/>
          <w:szCs w:val="27"/>
        </w:rPr>
      </w:pPr>
      <w:r w:rsidRPr="00D97613">
        <w:rPr>
          <w:rFonts w:ascii="Calibri" w:eastAsia="宋体" w:hAnsi="Calibri" w:cs="宋体"/>
          <w:b/>
          <w:bCs/>
          <w:kern w:val="0"/>
          <w:sz w:val="27"/>
          <w:szCs w:val="27"/>
        </w:rPr>
        <w:t>西南交通大学博士生扬华新秀奖学金评选管理暂行办法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第一章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总则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第一条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为全面推进实施西南交通大学强校战略，吸引博士生优质生源，学校决定设立“博士生扬华新秀奖学金”（以下简称扬华奖学金）。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第二条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扬华奖学金的奖励对象，为全日制脱产学习的优秀博士生新生，其人事档案应在规定时间内转入我校。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第三条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扬华奖学金的奖励标准，为每生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2.5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万元。扬华奖学金的评选，依照“坚持标准、宁缺毋滥”的原则进行，每年不超过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60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名。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Calibri" w:eastAsia="宋体" w:hAnsi="Calibri" w:cs="宋体"/>
          <w:kern w:val="0"/>
          <w:szCs w:val="21"/>
        </w:rPr>
      </w:pPr>
      <w:r w:rsidRPr="00D9761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第二章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申请基本条件</w:t>
      </w:r>
      <w:r w:rsidRPr="00D97613">
        <w:rPr>
          <w:rFonts w:ascii="Calibri" w:eastAsia="宋体" w:hAnsi="Calibri" w:cs="宋体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第四条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申请人应拥护中国共产党的领导，品行端正，</w:t>
      </w:r>
      <w:bookmarkStart w:id="0" w:name="baidusnap3"/>
      <w:bookmarkEnd w:id="0"/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具有扎实的基础理论和专业知识、严谨的治学态度、良好的科学道德和创新精神、科研能力突出。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第五条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来自本校的“直博生”，在本科阶段如有高水平成果，经本学科领域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名专家（正高职称）联名推荐，可以申请扬华奖学金；来自其他高水平大学的“直博生”，如本科阶段的学习成绩名列所在高校所在专业前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10%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，也可以申请。“高水平大学”由各学院根据学科情况自行认定，并报研究生院综合管理办公室备案。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申请扬华奖学金的“硕博连读生”、普通博士生，应提供近三年内，本人为第一作者（或导师为第一作者、本人为第二作者）的学术成果。获得国家发明专利或省部级及以上奖励者（拥有证书），也可以申请扬华奖学金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第六条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扬华奖学金对“硕博连读生”、普通博士生参评学术成果的认定，坚持“重质量、轻数量”的原则。申请者的学术成果水平，应不低于“西南交通大学学术期刊分级原则（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A++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A+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B+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B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）”规定中的“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”级标准。具体等级标准，由各学院自行确定，并在本学院网站公示、公开。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7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D97613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lastRenderedPageBreak/>
        <w:t>第七条</w:t>
      </w:r>
      <w:r w:rsidRPr="00D97613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 xml:space="preserve"> </w:t>
      </w:r>
      <w:r w:rsidRPr="00D97613">
        <w:rPr>
          <w:rFonts w:ascii="宋体" w:eastAsia="宋体" w:hAnsi="宋体" w:cs="宋体" w:hint="eastAsia"/>
          <w:kern w:val="0"/>
          <w:sz w:val="27"/>
          <w:szCs w:val="27"/>
        </w:rPr>
        <w:t xml:space="preserve">扬华奖学金和国家奖学金可以兼得，但获奖成果不能重复使用。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第八条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以下研究生不能申请扬华奖学金：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．在参评当年内，违反国家法律或受到校级警告及以上纪律处分者；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56"/>
        <w:rPr>
          <w:rFonts w:ascii="Calibri" w:eastAsia="宋体" w:hAnsi="Calibri" w:cs="宋体"/>
          <w:kern w:val="0"/>
          <w:szCs w:val="21"/>
        </w:rPr>
      </w:pP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D97613">
        <w:rPr>
          <w:rFonts w:ascii="宋体" w:eastAsia="宋体" w:hAnsi="宋体" w:cs="宋体" w:hint="eastAsia"/>
          <w:kern w:val="0"/>
          <w:sz w:val="24"/>
          <w:szCs w:val="24"/>
        </w:rPr>
        <w:t>．违反学术道德规范的相关规定，存在学术失范行为者；</w:t>
      </w:r>
      <w:r w:rsidRPr="00D97613">
        <w:rPr>
          <w:rFonts w:ascii="Calibri" w:eastAsia="宋体" w:hAnsi="Calibri" w:cs="宋体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56"/>
        <w:rPr>
          <w:rFonts w:ascii="Calibri" w:eastAsia="宋体" w:hAnsi="Calibri" w:cs="宋体"/>
          <w:kern w:val="0"/>
          <w:szCs w:val="21"/>
        </w:rPr>
      </w:pP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D97613">
        <w:rPr>
          <w:rFonts w:ascii="宋体" w:eastAsia="宋体" w:hAnsi="宋体" w:cs="宋体" w:hint="eastAsia"/>
          <w:kern w:val="0"/>
          <w:sz w:val="24"/>
          <w:szCs w:val="24"/>
        </w:rPr>
        <w:t>．不按时注册者。</w:t>
      </w:r>
      <w:r w:rsidRPr="00D97613">
        <w:rPr>
          <w:rFonts w:ascii="Calibri" w:eastAsia="宋体" w:hAnsi="Calibri" w:cs="宋体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第三章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评选程序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第九条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学校在每年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月份，根据当年各学院博士生招生数量，同比例下达扬华奖学金的指标名额，用于各学院吸引、表彰下一年度的博士生优质生源。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扬华奖学金每年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月初开始申请，符合条件的博士生在网上自行下载申请表格，填写后提交至所在学院奖助工作委员会。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第十一条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各学院根据学校下达的指标数，对符合条件的申请者进行评选，依据其成绩（直博生）或学术成果的实际水平，依次确定拟获奖人选和后备人选名单，并在院内公示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个工作日后报学校审定。学校研究生奖助工作领导小组对各学院的评选结果进行审定，并在校内公示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个工作日。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第十二条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对学校下达的扬华奖学金指标，各学院可根据实际情况，统筹安排用于“直博生”、“硕博连读生”、普通博士生。根据已公布的评选标准，各学院如无符合条件的博士生入选，其扬华奖学金的指标名额应及时退回研究生院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第十三条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扬华奖学金经校院两级公示后，一次性发放奖学金和荣誉证书。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Calibri" w:eastAsia="宋体" w:hAnsi="Calibri" w:cs="宋体"/>
          <w:kern w:val="0"/>
          <w:szCs w:val="21"/>
        </w:rPr>
      </w:pPr>
      <w:r w:rsidRPr="00D9761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第四章 个人申诉</w:t>
      </w:r>
      <w:r w:rsidRPr="00D97613">
        <w:rPr>
          <w:rFonts w:ascii="Calibri" w:eastAsia="宋体" w:hAnsi="Calibri" w:cs="宋体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78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第十四条</w:t>
      </w:r>
      <w:r w:rsidRPr="00D97613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对扬华奖学金评审结果有异议者，可在学院公示期内，向学院研究生奖助工作委员会提出书面申诉。学院应在接受申诉后2个工作日内做出答复。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78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lastRenderedPageBreak/>
        <w:t>第十五条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 xml:space="preserve"> 研究生及相关人员如对本学院的答复仍有异议，可在校级公示阶段向学校研究生奖助工作领导小组（研究生院综合管理办公室）提出书面申诉。学校审核后提出处理意见，并通知研究生本人及所在学院。此意见即为学校最终处理意见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Calibri" w:eastAsia="宋体" w:hAnsi="Calibri" w:cs="宋体"/>
          <w:kern w:val="0"/>
          <w:szCs w:val="21"/>
        </w:rPr>
      </w:pPr>
      <w:r w:rsidRPr="00D9761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第五章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附则</w:t>
      </w:r>
      <w:r w:rsidRPr="00D97613">
        <w:rPr>
          <w:rFonts w:ascii="Calibri" w:eastAsia="宋体" w:hAnsi="Calibri" w:cs="宋体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第十六条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各学院应根据本办法，制定相应的扬华奖学金评审实施细则，并报学校奖助工作领导小组（研究生院综合管理办公室）备案。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97613" w:rsidRPr="00D97613" w:rsidRDefault="00D97613" w:rsidP="00D97613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Times New Roman" w:eastAsia="宋体" w:hAnsi="Times New Roman" w:cs="Times New Roman"/>
          <w:kern w:val="0"/>
          <w:szCs w:val="21"/>
        </w:rPr>
      </w:pPr>
      <w:r w:rsidRPr="00D97613">
        <w:rPr>
          <w:rFonts w:ascii="微软雅黑" w:eastAsia="微软雅黑" w:hAnsi="微软雅黑" w:cs="Times New Roman" w:hint="eastAsia"/>
          <w:b/>
          <w:bCs/>
          <w:kern w:val="0"/>
          <w:sz w:val="24"/>
          <w:szCs w:val="24"/>
        </w:rPr>
        <w:t>第十七条</w:t>
      </w:r>
      <w:r w:rsidRPr="00D976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本办法从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2014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D97613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D97613">
        <w:rPr>
          <w:rFonts w:ascii="宋体" w:eastAsia="宋体" w:hAnsi="宋体" w:cs="Times New Roman" w:hint="eastAsia"/>
          <w:kern w:val="0"/>
          <w:sz w:val="24"/>
          <w:szCs w:val="24"/>
        </w:rPr>
        <w:t>月起施行，由研究生院负责解释。</w:t>
      </w:r>
      <w:r w:rsidRPr="00D9761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3404D" w:rsidRPr="00D97613" w:rsidRDefault="00A3404D">
      <w:pPr>
        <w:rPr>
          <w:rFonts w:hint="eastAsia"/>
        </w:rPr>
      </w:pPr>
    </w:p>
    <w:sectPr w:rsidR="00A3404D" w:rsidRPr="00D97613" w:rsidSect="00D97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04D" w:rsidRDefault="00A3404D" w:rsidP="00D97613">
      <w:r>
        <w:separator/>
      </w:r>
    </w:p>
  </w:endnote>
  <w:endnote w:type="continuationSeparator" w:id="1">
    <w:p w:rsidR="00A3404D" w:rsidRDefault="00A3404D" w:rsidP="00D97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3" w:rsidRDefault="00D976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3" w:rsidRDefault="00D976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3" w:rsidRDefault="00D976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04D" w:rsidRDefault="00A3404D" w:rsidP="00D97613">
      <w:r>
        <w:separator/>
      </w:r>
    </w:p>
  </w:footnote>
  <w:footnote w:type="continuationSeparator" w:id="1">
    <w:p w:rsidR="00A3404D" w:rsidRDefault="00A3404D" w:rsidP="00D97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3" w:rsidRDefault="00D976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3" w:rsidRDefault="00D97613" w:rsidP="00D9761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3" w:rsidRDefault="00D976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613"/>
    <w:rsid w:val="00A3404D"/>
    <w:rsid w:val="00D9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6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6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1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8426">
                  <w:marLeft w:val="0"/>
                  <w:marRight w:val="0"/>
                  <w:marTop w:val="150"/>
                  <w:marBottom w:val="0"/>
                  <w:divBdr>
                    <w:top w:val="single" w:sz="18" w:space="15" w:color="056295"/>
                    <w:left w:val="single" w:sz="6" w:space="15" w:color="AAAAAA"/>
                    <w:bottom w:val="single" w:sz="6" w:space="15" w:color="AAAAAA"/>
                    <w:right w:val="single" w:sz="6" w:space="15" w:color="AAAAAA"/>
                  </w:divBdr>
                  <w:divsChild>
                    <w:div w:id="2422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000000"/>
                        <w:right w:val="none" w:sz="0" w:space="0" w:color="auto"/>
                      </w:divBdr>
                    </w:div>
                    <w:div w:id="8324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2015-08-31T08:52:00Z</cp:lastPrinted>
  <dcterms:created xsi:type="dcterms:W3CDTF">2015-08-31T08:47:00Z</dcterms:created>
  <dcterms:modified xsi:type="dcterms:W3CDTF">2015-08-31T08:55:00Z</dcterms:modified>
</cp:coreProperties>
</file>